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64" w:rsidRDefault="00B37E64" w:rsidP="00B37E64">
      <w:pPr>
        <w:jc w:val="both"/>
      </w:pPr>
      <w:r>
        <w:t>Vážení rodiče,</w:t>
      </w:r>
    </w:p>
    <w:p w:rsidR="00D26E99" w:rsidRDefault="00B37E64" w:rsidP="00B37E64">
      <w:pPr>
        <w:jc w:val="both"/>
      </w:pPr>
      <w:r>
        <w:t xml:space="preserve">na základě nařízení vlády umožní ZŠ </w:t>
      </w:r>
      <w:r>
        <w:t xml:space="preserve">Rudolfa </w:t>
      </w:r>
      <w:proofErr w:type="spellStart"/>
      <w:r>
        <w:t>Koblice</w:t>
      </w:r>
      <w:proofErr w:type="spellEnd"/>
      <w:r>
        <w:t xml:space="preserve"> od 11. 5. 2020 pro žáky 9. tříd prezenční výuku, která musí splňovat stanovená pravidla. K prezenční výuce se žák/žákyně přihlašuje závazně do </w:t>
      </w:r>
      <w:r>
        <w:t>čtvrtka 7. 5. 2020. P</w:t>
      </w:r>
      <w:r>
        <w:t>o tomto datu už se další žác</w:t>
      </w:r>
      <w:r>
        <w:t xml:space="preserve">i k prezenční výuce nepřijímají. </w:t>
      </w:r>
      <w:r>
        <w:t xml:space="preserve">Složení skupin z přihlášených žáků stanoví škola předem a je neměnné. Přihlášku je nutné vyplnit, podepsat zákonným zástupcem a </w:t>
      </w:r>
      <w:r w:rsidR="000B70E7">
        <w:t xml:space="preserve">oskenovanou nebo ofocenou mobilem poslat </w:t>
      </w:r>
      <w:r>
        <w:t>do 7.5</w:t>
      </w:r>
      <w:r w:rsidR="000B70E7">
        <w:t xml:space="preserve"> třídní učitelce</w:t>
      </w:r>
      <w:r>
        <w:t xml:space="preserve">. </w:t>
      </w:r>
      <w:r>
        <w:t xml:space="preserve"> </w:t>
      </w:r>
      <w:r w:rsidR="000B70E7">
        <w:t>Originál a č</w:t>
      </w:r>
      <w:r>
        <w:t>estn</w:t>
      </w:r>
      <w:r>
        <w:t xml:space="preserve">é </w:t>
      </w:r>
      <w:r>
        <w:t xml:space="preserve">prohlášení o neexistenci příznaků virového infekčního onemocnění přinese žák první </w:t>
      </w:r>
      <w:r>
        <w:t xml:space="preserve">den nástupu na prezenční výuku. </w:t>
      </w:r>
      <w:r>
        <w:t>Prezenční výuka je výhradně určena pro žáky 9. ročníku, kteří se připra</w:t>
      </w:r>
      <w:r w:rsidR="000E266B">
        <w:t>vují na přijímací zkoušky na SŠ, přičemž účast je nepovinná.</w:t>
      </w:r>
      <w:r>
        <w:t xml:space="preserve"> </w:t>
      </w:r>
      <w:r w:rsidR="00DE4046">
        <w:t xml:space="preserve">Výuka bude probíhat pouze do termínu přijímacích zkoušek. </w:t>
      </w:r>
      <w:r>
        <w:t>Pravidla pro prezenční výuku najdete pod přihláškou.</w:t>
      </w:r>
    </w:p>
    <w:p w:rsidR="00195E10" w:rsidRDefault="00195E10" w:rsidP="00B37E64">
      <w:pPr>
        <w:jc w:val="both"/>
      </w:pPr>
    </w:p>
    <w:p w:rsidR="00195E10" w:rsidRDefault="00195E10" w:rsidP="00B37E64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928"/>
        <w:gridCol w:w="1033"/>
        <w:gridCol w:w="987"/>
      </w:tblGrid>
      <w:tr w:rsidR="00B37E64" w:rsidRPr="00B37E64" w:rsidTr="00082A40">
        <w:trPr>
          <w:trHeight w:val="300"/>
        </w:trPr>
        <w:tc>
          <w:tcPr>
            <w:tcW w:w="9062" w:type="dxa"/>
            <w:gridSpan w:val="4"/>
            <w:tcBorders>
              <w:bottom w:val="nil"/>
            </w:tcBorders>
            <w:noWrap/>
            <w:hideMark/>
          </w:tcPr>
          <w:p w:rsidR="00B37E64" w:rsidRPr="00B37E64" w:rsidRDefault="00B37E64" w:rsidP="00082A40">
            <w:pPr>
              <w:jc w:val="center"/>
              <w:rPr>
                <w:b/>
                <w:bCs/>
              </w:rPr>
            </w:pPr>
            <w:r w:rsidRPr="00B37E64">
              <w:rPr>
                <w:b/>
                <w:bCs/>
              </w:rPr>
              <w:t xml:space="preserve">Závazná přihláška k prezenční výuce na ZŠ Rudolfa </w:t>
            </w:r>
            <w:proofErr w:type="spellStart"/>
            <w:r w:rsidRPr="00B37E64">
              <w:rPr>
                <w:b/>
                <w:bCs/>
              </w:rPr>
              <w:t>Koblice</w:t>
            </w:r>
            <w:proofErr w:type="spellEnd"/>
          </w:p>
        </w:tc>
      </w:tr>
      <w:tr w:rsidR="00B37E64" w:rsidRPr="00B37E64" w:rsidTr="00082A40">
        <w:trPr>
          <w:trHeight w:val="315"/>
        </w:trPr>
        <w:tc>
          <w:tcPr>
            <w:tcW w:w="9062" w:type="dxa"/>
            <w:gridSpan w:val="4"/>
            <w:tcBorders>
              <w:top w:val="nil"/>
              <w:bottom w:val="nil"/>
            </w:tcBorders>
            <w:noWrap/>
            <w:hideMark/>
          </w:tcPr>
          <w:p w:rsidR="00B37E64" w:rsidRPr="00B37E64" w:rsidRDefault="00B37E64" w:rsidP="00082A40">
            <w:pPr>
              <w:jc w:val="center"/>
              <w:rPr>
                <w:b/>
                <w:bCs/>
              </w:rPr>
            </w:pPr>
            <w:r w:rsidRPr="00B37E64">
              <w:rPr>
                <w:b/>
                <w:bCs/>
              </w:rPr>
              <w:t xml:space="preserve">v termínu od </w:t>
            </w:r>
            <w:proofErr w:type="gramStart"/>
            <w:r w:rsidRPr="00B37E64">
              <w:rPr>
                <w:b/>
                <w:bCs/>
              </w:rPr>
              <w:t>11.</w:t>
            </w:r>
            <w:r w:rsidR="008612A8">
              <w:rPr>
                <w:b/>
                <w:bCs/>
              </w:rPr>
              <w:t xml:space="preserve"> </w:t>
            </w:r>
            <w:r w:rsidR="00385496">
              <w:rPr>
                <w:b/>
                <w:bCs/>
              </w:rPr>
              <w:t>5</w:t>
            </w:r>
            <w:r w:rsidR="008612A8">
              <w:rPr>
                <w:b/>
                <w:bCs/>
              </w:rPr>
              <w:t xml:space="preserve"> </w:t>
            </w:r>
            <w:r w:rsidRPr="00B37E64">
              <w:rPr>
                <w:b/>
                <w:bCs/>
              </w:rPr>
              <w:t>.2020</w:t>
            </w:r>
            <w:proofErr w:type="gramEnd"/>
          </w:p>
        </w:tc>
      </w:tr>
      <w:tr w:rsidR="00B37E64" w:rsidRPr="00B37E64" w:rsidTr="00082A40">
        <w:trPr>
          <w:trHeight w:val="300"/>
        </w:trPr>
        <w:tc>
          <w:tcPr>
            <w:tcW w:w="9062" w:type="dxa"/>
            <w:gridSpan w:val="4"/>
            <w:tcBorders>
              <w:top w:val="nil"/>
              <w:bottom w:val="nil"/>
            </w:tcBorders>
            <w:noWrap/>
            <w:hideMark/>
          </w:tcPr>
          <w:p w:rsidR="00B37E64" w:rsidRPr="00B37E64" w:rsidRDefault="00B37E64" w:rsidP="00B37E64">
            <w:pPr>
              <w:jc w:val="both"/>
            </w:pPr>
          </w:p>
        </w:tc>
      </w:tr>
      <w:tr w:rsidR="00B37E64" w:rsidRPr="00B37E64" w:rsidTr="00082A40">
        <w:trPr>
          <w:trHeight w:val="300"/>
        </w:trPr>
        <w:tc>
          <w:tcPr>
            <w:tcW w:w="7042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B37E64" w:rsidRPr="00B37E64" w:rsidRDefault="00B37E64" w:rsidP="00B37E64">
            <w:pPr>
              <w:jc w:val="both"/>
            </w:pPr>
            <w:r w:rsidRPr="00B37E64">
              <w:t>Jméno a příjmení žáka: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:rsidR="00B37E64" w:rsidRPr="00B37E64" w:rsidRDefault="00B37E64" w:rsidP="00B37E64">
            <w:pPr>
              <w:jc w:val="both"/>
            </w:pPr>
            <w:r w:rsidRPr="00B37E64">
              <w:t>Třída:</w:t>
            </w:r>
          </w:p>
        </w:tc>
      </w:tr>
      <w:tr w:rsidR="00B37E64" w:rsidRPr="00B37E64" w:rsidTr="00082A40">
        <w:trPr>
          <w:trHeight w:val="300"/>
        </w:trPr>
        <w:tc>
          <w:tcPr>
            <w:tcW w:w="7042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082A40" w:rsidRDefault="00082A40" w:rsidP="00B37E64">
            <w:pPr>
              <w:jc w:val="both"/>
            </w:pPr>
          </w:p>
          <w:p w:rsidR="00B37E64" w:rsidRPr="00B37E64" w:rsidRDefault="00B37E64" w:rsidP="00B37E64">
            <w:pPr>
              <w:jc w:val="both"/>
            </w:pPr>
            <w:r w:rsidRPr="00B37E64">
              <w:t>Přihlašuji s</w:t>
            </w:r>
            <w:r w:rsidR="003071ED">
              <w:t>v</w:t>
            </w:r>
            <w:r w:rsidRPr="00B37E64">
              <w:t>ou dceru/syna k prezenční výuce od 11.</w:t>
            </w:r>
            <w:r w:rsidR="008612A8">
              <w:t xml:space="preserve"> </w:t>
            </w:r>
            <w:r w:rsidRPr="00B37E64">
              <w:t>5.</w:t>
            </w:r>
            <w:r w:rsidR="008612A8">
              <w:t xml:space="preserve"> </w:t>
            </w:r>
            <w:r w:rsidRPr="00B37E64">
              <w:t>2020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2A40" w:rsidRDefault="00082A40" w:rsidP="00B37E64">
            <w:pPr>
              <w:jc w:val="both"/>
            </w:pPr>
          </w:p>
          <w:p w:rsidR="00B37E64" w:rsidRPr="00B37E64" w:rsidRDefault="00B37E64" w:rsidP="00B37E64">
            <w:pPr>
              <w:jc w:val="both"/>
            </w:pPr>
            <w:r w:rsidRPr="00B37E64">
              <w:t>ANO*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</w:tcBorders>
            <w:noWrap/>
            <w:hideMark/>
          </w:tcPr>
          <w:p w:rsidR="00082A40" w:rsidRDefault="00082A40" w:rsidP="00B37E64">
            <w:pPr>
              <w:jc w:val="both"/>
            </w:pPr>
          </w:p>
          <w:p w:rsidR="00B37E64" w:rsidRPr="00B37E64" w:rsidRDefault="00B37E64" w:rsidP="00B37E64">
            <w:pPr>
              <w:jc w:val="both"/>
            </w:pPr>
            <w:r w:rsidRPr="00B37E64">
              <w:t>NE</w:t>
            </w:r>
          </w:p>
        </w:tc>
      </w:tr>
      <w:tr w:rsidR="00B37E64" w:rsidRPr="00B37E64" w:rsidTr="00082A40">
        <w:trPr>
          <w:trHeight w:val="300"/>
        </w:trPr>
        <w:tc>
          <w:tcPr>
            <w:tcW w:w="9062" w:type="dxa"/>
            <w:gridSpan w:val="4"/>
            <w:tcBorders>
              <w:top w:val="nil"/>
              <w:bottom w:val="nil"/>
            </w:tcBorders>
            <w:noWrap/>
            <w:hideMark/>
          </w:tcPr>
          <w:p w:rsidR="00B37E64" w:rsidRPr="00B37E64" w:rsidRDefault="00B37E64" w:rsidP="00B37E64">
            <w:pPr>
              <w:jc w:val="both"/>
            </w:pPr>
            <w:r w:rsidRPr="00B37E64">
              <w:t>Telefo</w:t>
            </w:r>
            <w:r w:rsidR="00082A40">
              <w:t>n na rodiče v době konání výuky</w:t>
            </w:r>
          </w:p>
        </w:tc>
      </w:tr>
      <w:tr w:rsidR="00B37E64" w:rsidRPr="00B37E64" w:rsidTr="00082A40">
        <w:trPr>
          <w:trHeight w:val="300"/>
        </w:trPr>
        <w:tc>
          <w:tcPr>
            <w:tcW w:w="9062" w:type="dxa"/>
            <w:gridSpan w:val="4"/>
            <w:tcBorders>
              <w:top w:val="nil"/>
              <w:bottom w:val="nil"/>
            </w:tcBorders>
            <w:noWrap/>
            <w:hideMark/>
          </w:tcPr>
          <w:p w:rsidR="00B37E64" w:rsidRPr="00B37E64" w:rsidRDefault="00B37E64" w:rsidP="00B37E64">
            <w:pPr>
              <w:jc w:val="both"/>
            </w:pPr>
            <w:r w:rsidRPr="00B37E64">
              <w:t>Telefon 1:</w:t>
            </w:r>
          </w:p>
        </w:tc>
      </w:tr>
      <w:tr w:rsidR="00B37E64" w:rsidRPr="00B37E64" w:rsidTr="00082A40">
        <w:trPr>
          <w:trHeight w:val="300"/>
        </w:trPr>
        <w:tc>
          <w:tcPr>
            <w:tcW w:w="9062" w:type="dxa"/>
            <w:gridSpan w:val="4"/>
            <w:tcBorders>
              <w:top w:val="nil"/>
              <w:bottom w:val="nil"/>
            </w:tcBorders>
            <w:noWrap/>
            <w:hideMark/>
          </w:tcPr>
          <w:p w:rsidR="00B37E64" w:rsidRPr="00B37E64" w:rsidRDefault="00B37E64" w:rsidP="00B37E64">
            <w:pPr>
              <w:jc w:val="both"/>
            </w:pPr>
            <w:r w:rsidRPr="00B37E64">
              <w:t>Telefon</w:t>
            </w:r>
            <w:r w:rsidR="003071ED">
              <w:t xml:space="preserve"> </w:t>
            </w:r>
            <w:r w:rsidRPr="00B37E64">
              <w:t>2:</w:t>
            </w:r>
          </w:p>
        </w:tc>
      </w:tr>
      <w:tr w:rsidR="00B37E64" w:rsidRPr="00B37E64" w:rsidTr="00082A40">
        <w:trPr>
          <w:trHeight w:val="300"/>
        </w:trPr>
        <w:tc>
          <w:tcPr>
            <w:tcW w:w="9062" w:type="dxa"/>
            <w:gridSpan w:val="4"/>
            <w:tcBorders>
              <w:top w:val="nil"/>
              <w:bottom w:val="nil"/>
            </w:tcBorders>
            <w:noWrap/>
            <w:hideMark/>
          </w:tcPr>
          <w:p w:rsidR="00082A40" w:rsidRDefault="00082A40" w:rsidP="00B37E64">
            <w:pPr>
              <w:jc w:val="both"/>
            </w:pPr>
          </w:p>
          <w:p w:rsidR="00B37E64" w:rsidRPr="00B37E64" w:rsidRDefault="00B37E64" w:rsidP="00B37E64">
            <w:pPr>
              <w:jc w:val="both"/>
            </w:pPr>
            <w:r w:rsidRPr="00B37E64">
              <w:t>Přílohou přihlášky je Čestné prohlášení o neexistenci příznaků virového infekčního onemocnění</w:t>
            </w:r>
          </w:p>
        </w:tc>
      </w:tr>
      <w:tr w:rsidR="00B37E64" w:rsidRPr="00B37E64" w:rsidTr="00082A40">
        <w:trPr>
          <w:trHeight w:val="840"/>
        </w:trPr>
        <w:tc>
          <w:tcPr>
            <w:tcW w:w="9062" w:type="dxa"/>
            <w:gridSpan w:val="4"/>
            <w:tcBorders>
              <w:top w:val="nil"/>
              <w:bottom w:val="nil"/>
            </w:tcBorders>
            <w:hideMark/>
          </w:tcPr>
          <w:p w:rsidR="00082A40" w:rsidRDefault="00082A40" w:rsidP="00B37E64">
            <w:pPr>
              <w:jc w:val="both"/>
              <w:rPr>
                <w:i/>
                <w:iCs/>
              </w:rPr>
            </w:pPr>
          </w:p>
          <w:p w:rsidR="00B37E64" w:rsidRDefault="00B37E64" w:rsidP="00B37E64">
            <w:pPr>
              <w:jc w:val="both"/>
              <w:rPr>
                <w:i/>
                <w:iCs/>
              </w:rPr>
            </w:pPr>
            <w:r w:rsidRPr="00B37E64">
              <w:rPr>
                <w:i/>
                <w:iCs/>
              </w:rPr>
              <w:t>Zavazuji se, že můj syn/</w:t>
            </w:r>
            <w:r w:rsidR="00082A40">
              <w:rPr>
                <w:i/>
                <w:iCs/>
              </w:rPr>
              <w:t xml:space="preserve"> má </w:t>
            </w:r>
            <w:r w:rsidRPr="00B37E64">
              <w:rPr>
                <w:i/>
                <w:iCs/>
              </w:rPr>
              <w:t xml:space="preserve">dcera bude dodržovat výše uvedená bezpečností a hygienická pravidla, se kterými </w:t>
            </w:r>
            <w:proofErr w:type="gramStart"/>
            <w:r w:rsidRPr="00B37E64">
              <w:rPr>
                <w:i/>
                <w:iCs/>
              </w:rPr>
              <w:t>byl(a) seznámen</w:t>
            </w:r>
            <w:proofErr w:type="gramEnd"/>
            <w:r w:rsidRPr="00B37E64">
              <w:rPr>
                <w:i/>
                <w:iCs/>
              </w:rPr>
              <w:t>(a).  V případě zhoršeného a nevyhovujícího zdravotního stavu si žáka (svého syna/svou dceru) na vyzvání pracovníka školy neprodleně odvedu pryč ze školy.</w:t>
            </w:r>
          </w:p>
          <w:p w:rsidR="00082A40" w:rsidRPr="00B37E64" w:rsidRDefault="00082A40" w:rsidP="00B37E64">
            <w:pPr>
              <w:jc w:val="both"/>
              <w:rPr>
                <w:i/>
                <w:iCs/>
              </w:rPr>
            </w:pPr>
          </w:p>
        </w:tc>
      </w:tr>
      <w:tr w:rsidR="00B37E64" w:rsidRPr="00B37E64" w:rsidTr="00082A40">
        <w:trPr>
          <w:trHeight w:val="300"/>
        </w:trPr>
        <w:tc>
          <w:tcPr>
            <w:tcW w:w="9062" w:type="dxa"/>
            <w:gridSpan w:val="4"/>
            <w:tcBorders>
              <w:top w:val="nil"/>
              <w:bottom w:val="nil"/>
            </w:tcBorders>
            <w:noWrap/>
            <w:hideMark/>
          </w:tcPr>
          <w:p w:rsidR="00B37E64" w:rsidRDefault="00B37E64" w:rsidP="00082A40">
            <w:pPr>
              <w:jc w:val="center"/>
            </w:pPr>
            <w:r w:rsidRPr="00B37E64">
              <w:t>Výše uvedené údaje jsou úplné a pravdivé.</w:t>
            </w:r>
          </w:p>
          <w:p w:rsidR="00082A40" w:rsidRPr="00B37E64" w:rsidRDefault="00082A40" w:rsidP="00082A40">
            <w:pPr>
              <w:jc w:val="center"/>
            </w:pPr>
          </w:p>
        </w:tc>
      </w:tr>
      <w:tr w:rsidR="00B37E64" w:rsidRPr="00B37E64" w:rsidTr="00082A40">
        <w:trPr>
          <w:trHeight w:val="300"/>
        </w:trPr>
        <w:tc>
          <w:tcPr>
            <w:tcW w:w="3114" w:type="dxa"/>
            <w:tcBorders>
              <w:top w:val="nil"/>
              <w:bottom w:val="nil"/>
              <w:right w:val="nil"/>
            </w:tcBorders>
            <w:noWrap/>
            <w:hideMark/>
          </w:tcPr>
          <w:p w:rsidR="00B37E64" w:rsidRPr="00B37E64" w:rsidRDefault="00B37E64" w:rsidP="00B37E64">
            <w:pPr>
              <w:jc w:val="both"/>
            </w:pPr>
            <w:r w:rsidRPr="00B37E64">
              <w:t>Datum: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</w:tcBorders>
            <w:noWrap/>
            <w:hideMark/>
          </w:tcPr>
          <w:p w:rsidR="00B37E64" w:rsidRDefault="00B37E64" w:rsidP="00B37E64">
            <w:pPr>
              <w:jc w:val="both"/>
            </w:pPr>
            <w:r w:rsidRPr="00B37E64">
              <w:t>Podpis zákonných zástupců:</w:t>
            </w:r>
          </w:p>
          <w:p w:rsidR="00082A40" w:rsidRPr="00B37E64" w:rsidRDefault="00082A40" w:rsidP="00B37E64">
            <w:pPr>
              <w:jc w:val="both"/>
            </w:pPr>
          </w:p>
        </w:tc>
      </w:tr>
      <w:tr w:rsidR="00B37E64" w:rsidRPr="00B37E64" w:rsidTr="00082A40">
        <w:trPr>
          <w:trHeight w:val="315"/>
        </w:trPr>
        <w:tc>
          <w:tcPr>
            <w:tcW w:w="9062" w:type="dxa"/>
            <w:gridSpan w:val="4"/>
            <w:tcBorders>
              <w:top w:val="nil"/>
            </w:tcBorders>
            <w:noWrap/>
            <w:hideMark/>
          </w:tcPr>
          <w:p w:rsidR="00B37E64" w:rsidRPr="00B37E64" w:rsidRDefault="00B37E64" w:rsidP="00280649">
            <w:pPr>
              <w:jc w:val="both"/>
              <w:rPr>
                <w:i/>
                <w:iCs/>
              </w:rPr>
            </w:pPr>
            <w:r w:rsidRPr="00B37E64">
              <w:rPr>
                <w:i/>
                <w:iCs/>
              </w:rPr>
              <w:t>* Pouze v případě za</w:t>
            </w:r>
            <w:r w:rsidR="00280649">
              <w:rPr>
                <w:i/>
                <w:iCs/>
              </w:rPr>
              <w:t>kroužkování</w:t>
            </w:r>
            <w:r w:rsidRPr="00B37E64">
              <w:rPr>
                <w:i/>
                <w:iCs/>
              </w:rPr>
              <w:t xml:space="preserve"> možnosti ANO pokračujte ve vyplnění přihlášky.</w:t>
            </w:r>
          </w:p>
        </w:tc>
      </w:tr>
    </w:tbl>
    <w:p w:rsidR="00B37E64" w:rsidRDefault="00B37E64" w:rsidP="00B37E64">
      <w:pPr>
        <w:jc w:val="both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195E10" w:rsidRDefault="00195E10" w:rsidP="00AE4AFA">
      <w:pPr>
        <w:pStyle w:val="Default"/>
      </w:pPr>
    </w:p>
    <w:p w:rsidR="00AE4AFA" w:rsidRDefault="00AE4AFA" w:rsidP="00AE4AFA">
      <w:pPr>
        <w:pStyle w:val="Default"/>
      </w:pPr>
      <w:r w:rsidRPr="00040D71">
        <w:t xml:space="preserve">Pravidla spojená s  výukou žáků devátého ročníku ZŠ </w:t>
      </w:r>
      <w:r w:rsidRPr="00040D71">
        <w:t xml:space="preserve">Rudolfa </w:t>
      </w:r>
      <w:proofErr w:type="spellStart"/>
      <w:r w:rsidRPr="00040D71">
        <w:t>Koblice</w:t>
      </w:r>
      <w:proofErr w:type="spellEnd"/>
      <w:r w:rsidRPr="00040D71">
        <w:t xml:space="preserve"> (od 11. 5. 2020)</w:t>
      </w:r>
    </w:p>
    <w:p w:rsidR="000B70E7" w:rsidRPr="00040D71" w:rsidRDefault="000B70E7" w:rsidP="00AE4AFA">
      <w:pPr>
        <w:pStyle w:val="Default"/>
      </w:pPr>
      <w:r>
        <w:t>Tato pravidla si ponechejte doma.</w:t>
      </w:r>
    </w:p>
    <w:p w:rsidR="00AE4AFA" w:rsidRPr="00B47E7B" w:rsidRDefault="00AE4AFA" w:rsidP="00AE4AFA">
      <w:pPr>
        <w:pStyle w:val="Default"/>
        <w:rPr>
          <w:u w:val="single"/>
        </w:rPr>
      </w:pPr>
    </w:p>
    <w:p w:rsidR="00AE4AFA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AE4AFA">
        <w:rPr>
          <w:sz w:val="22"/>
          <w:szCs w:val="22"/>
        </w:rPr>
        <w:t xml:space="preserve">Přihlášení žáci dochází do školy a odchází z ní podle stanoveného rozvrhu, </w:t>
      </w:r>
      <w:r w:rsidR="00E947C0">
        <w:rPr>
          <w:sz w:val="22"/>
          <w:szCs w:val="22"/>
        </w:rPr>
        <w:t>jenž je součástí této přihlášky</w:t>
      </w:r>
      <w:r w:rsidRPr="00AE4AFA">
        <w:rPr>
          <w:sz w:val="22"/>
          <w:szCs w:val="22"/>
        </w:rPr>
        <w:t xml:space="preserve"> a který je umístěn na webu školy</w:t>
      </w:r>
      <w:r w:rsidR="00040D71">
        <w:rPr>
          <w:sz w:val="22"/>
          <w:szCs w:val="22"/>
        </w:rPr>
        <w:t>,</w:t>
      </w:r>
      <w:r w:rsidRPr="00AE4AFA">
        <w:rPr>
          <w:sz w:val="22"/>
          <w:szCs w:val="22"/>
        </w:rPr>
        <w:t xml:space="preserve"> </w:t>
      </w:r>
    </w:p>
    <w:p w:rsidR="00AE4AFA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A4430B">
        <w:rPr>
          <w:sz w:val="22"/>
          <w:szCs w:val="22"/>
        </w:rPr>
        <w:t>V případě závažného důvodu, kdy žák nemůže být prezenční výuce přítomen, omluví žákovu nepřítomnost telefonicky jeho zákonný zástupce</w:t>
      </w:r>
      <w:r>
        <w:rPr>
          <w:sz w:val="22"/>
          <w:szCs w:val="22"/>
        </w:rPr>
        <w:t xml:space="preserve"> ihned v den nepřítomnosti před zahájením výuky</w:t>
      </w:r>
      <w:r>
        <w:rPr>
          <w:sz w:val="22"/>
          <w:szCs w:val="22"/>
        </w:rPr>
        <w:t xml:space="preserve"> na tel. Č. 474316430 nebo třídnímu učiteli</w:t>
      </w:r>
      <w:r w:rsidR="00040D71">
        <w:rPr>
          <w:sz w:val="22"/>
          <w:szCs w:val="22"/>
        </w:rPr>
        <w:t>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AE4AFA">
        <w:rPr>
          <w:sz w:val="22"/>
          <w:szCs w:val="22"/>
        </w:rPr>
        <w:t xml:space="preserve">Vstup do budovy školy je umožněn pouze žákům, nikoliv doprovázejícím osobám. Do budovy školy vstupují žáci </w:t>
      </w:r>
      <w:r w:rsidR="007B125C">
        <w:rPr>
          <w:sz w:val="22"/>
          <w:szCs w:val="22"/>
        </w:rPr>
        <w:t xml:space="preserve">pouze </w:t>
      </w:r>
      <w:r w:rsidRPr="00AE4AFA">
        <w:rPr>
          <w:sz w:val="22"/>
          <w:szCs w:val="22"/>
        </w:rPr>
        <w:t xml:space="preserve">v doprovodu učitele, </w:t>
      </w:r>
      <w:r w:rsidR="00040D71">
        <w:rPr>
          <w:sz w:val="22"/>
          <w:szCs w:val="22"/>
        </w:rPr>
        <w:t>na něhož vyčkají</w:t>
      </w:r>
      <w:r w:rsidRPr="00AE4AFA">
        <w:rPr>
          <w:sz w:val="22"/>
          <w:szCs w:val="22"/>
        </w:rPr>
        <w:t xml:space="preserve"> před vchodem do školy</w:t>
      </w:r>
      <w:r w:rsidR="007B125C">
        <w:rPr>
          <w:sz w:val="22"/>
          <w:szCs w:val="22"/>
        </w:rPr>
        <w:t>. Škola se otevře 10 min před zahájením výuky</w:t>
      </w:r>
      <w:r w:rsidRPr="00AE4AFA">
        <w:rPr>
          <w:sz w:val="22"/>
          <w:szCs w:val="22"/>
        </w:rPr>
        <w:t xml:space="preserve">. Po vstupu do </w:t>
      </w:r>
      <w:r w:rsidR="00040D71">
        <w:rPr>
          <w:sz w:val="22"/>
          <w:szCs w:val="22"/>
        </w:rPr>
        <w:t>třídy</w:t>
      </w:r>
      <w:r w:rsidRPr="00AE4AFA">
        <w:rPr>
          <w:sz w:val="22"/>
          <w:szCs w:val="22"/>
        </w:rPr>
        <w:t xml:space="preserve"> musí žáci </w:t>
      </w:r>
      <w:r w:rsidR="00040D71">
        <w:rPr>
          <w:sz w:val="22"/>
          <w:szCs w:val="22"/>
        </w:rPr>
        <w:t>použít dezinfekci na ruce, jíž je škola vybavena,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040D71">
        <w:rPr>
          <w:sz w:val="22"/>
          <w:szCs w:val="22"/>
        </w:rPr>
        <w:t>Prezenční výuky se účastní pouze zdravý žák bez teploty a výrazných příznaků onemocnění (rýma, kašel,…). V případě žákova n</w:t>
      </w:r>
      <w:r w:rsidR="007B125C">
        <w:rPr>
          <w:sz w:val="22"/>
          <w:szCs w:val="22"/>
        </w:rPr>
        <w:t>evyhovujícího zdravotního stavu</w:t>
      </w:r>
      <w:r w:rsidRPr="00040D71">
        <w:rPr>
          <w:sz w:val="22"/>
          <w:szCs w:val="22"/>
        </w:rPr>
        <w:t xml:space="preserve"> si ho na vyzvání neprodleně vyzvedne zákonný zástupc</w:t>
      </w:r>
      <w:r w:rsidR="00040D71">
        <w:rPr>
          <w:sz w:val="22"/>
          <w:szCs w:val="22"/>
        </w:rPr>
        <w:t>e,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040D71">
        <w:rPr>
          <w:sz w:val="22"/>
          <w:szCs w:val="22"/>
        </w:rPr>
        <w:t xml:space="preserve">Všichni žáci nosí ve společných prostorách roušky. Každý žák bude mít s sebou na den minimálně </w:t>
      </w:r>
      <w:r w:rsidRPr="00A4430B">
        <w:rPr>
          <w:sz w:val="22"/>
          <w:szCs w:val="22"/>
        </w:rPr>
        <w:t>2 roušky a sáček na uložení roušky. Při sejmutí si k</w:t>
      </w:r>
      <w:r w:rsidR="00040D71">
        <w:rPr>
          <w:sz w:val="22"/>
          <w:szCs w:val="22"/>
        </w:rPr>
        <w:t>aždý žák ukládá roušku do sáčku,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040D71">
        <w:rPr>
          <w:sz w:val="22"/>
          <w:szCs w:val="22"/>
        </w:rPr>
        <w:t>Žák je povinen dodržovat stanovená hygienická pravidla; jejich opakované nedodržování, po prokazatelném upozornění zákonného zástupce žáka, je důvo</w:t>
      </w:r>
      <w:r w:rsidR="00040D71">
        <w:rPr>
          <w:sz w:val="22"/>
          <w:szCs w:val="22"/>
        </w:rPr>
        <w:t xml:space="preserve">dem k nevpuštění žáka do školy, </w:t>
      </w:r>
      <w:r w:rsidRPr="00A4430B">
        <w:rPr>
          <w:sz w:val="22"/>
          <w:szCs w:val="22"/>
        </w:rPr>
        <w:t>resp. k vyřazení žáka ze skupiny či přípravy</w:t>
      </w:r>
      <w:r w:rsidR="00040D71">
        <w:rPr>
          <w:sz w:val="22"/>
          <w:szCs w:val="22"/>
        </w:rPr>
        <w:t>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040D71">
        <w:rPr>
          <w:sz w:val="22"/>
          <w:szCs w:val="22"/>
        </w:rPr>
        <w:t>Složení skupin žáků stanoví škola, bude žákům sděleno předem a je neměnné (maximální počet žáků ve skupině žáků je 15 s tím, že je nezbytné dodržet zásadu jeden žák v lavici ve třídě). Po dobu pobytu ve škole se žáci na</w:t>
      </w:r>
      <w:r w:rsidR="00040D71">
        <w:rPr>
          <w:sz w:val="22"/>
          <w:szCs w:val="22"/>
        </w:rPr>
        <w:t>příč skupinami nesmějí potkávat,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A4430B">
        <w:rPr>
          <w:sz w:val="22"/>
          <w:szCs w:val="22"/>
        </w:rPr>
        <w:t xml:space="preserve">Žáci se </w:t>
      </w:r>
      <w:r>
        <w:rPr>
          <w:sz w:val="22"/>
          <w:szCs w:val="22"/>
        </w:rPr>
        <w:t>o</w:t>
      </w:r>
      <w:r w:rsidRPr="00A4430B">
        <w:rPr>
          <w:sz w:val="22"/>
          <w:szCs w:val="22"/>
        </w:rPr>
        <w:t> přestávce mezi výukovými blo</w:t>
      </w:r>
      <w:r w:rsidR="00040D71">
        <w:rPr>
          <w:sz w:val="22"/>
          <w:szCs w:val="22"/>
        </w:rPr>
        <w:t>ky zdržují pouze v určené třídě a</w:t>
      </w:r>
      <w:r w:rsidRPr="00A4430B">
        <w:rPr>
          <w:sz w:val="22"/>
          <w:szCs w:val="22"/>
        </w:rPr>
        <w:t xml:space="preserve"> na určeném patře školy</w:t>
      </w:r>
      <w:r w:rsidR="00040D71">
        <w:rPr>
          <w:sz w:val="22"/>
          <w:szCs w:val="22"/>
        </w:rPr>
        <w:t xml:space="preserve">. </w:t>
      </w:r>
      <w:r w:rsidRPr="00A4430B">
        <w:rPr>
          <w:sz w:val="22"/>
          <w:szCs w:val="22"/>
        </w:rPr>
        <w:t>Nev</w:t>
      </w:r>
      <w:r w:rsidR="00040D71">
        <w:rPr>
          <w:sz w:val="22"/>
          <w:szCs w:val="22"/>
        </w:rPr>
        <w:t>ytvářejí skupinky a nosí roušky,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040D71">
        <w:rPr>
          <w:sz w:val="22"/>
          <w:szCs w:val="22"/>
        </w:rPr>
        <w:t xml:space="preserve">V průběhu pobytu ve třídě nemusí žáci ani pedagogičtí pracovníci nosit roušku, pokud je zachován rozestup 2 metry (nejméně 1,5 metru). Pokud dochází k bližšímu kontaktu (např. při skupinové práci), </w:t>
      </w:r>
      <w:r w:rsidR="007B125C">
        <w:rPr>
          <w:sz w:val="22"/>
          <w:szCs w:val="22"/>
        </w:rPr>
        <w:t>musí se roušky nosit i ve třídě. Používání roušek ve třídě řídí vyučující,</w:t>
      </w:r>
    </w:p>
    <w:p w:rsidR="00040D71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040D71">
        <w:rPr>
          <w:sz w:val="22"/>
          <w:szCs w:val="22"/>
        </w:rPr>
        <w:t>Žáci si po každém vzdělávacím bloku vydezinfikují nebo umyjí ruce ve své třídě</w:t>
      </w:r>
      <w:r w:rsidR="00040D71">
        <w:rPr>
          <w:sz w:val="22"/>
          <w:szCs w:val="22"/>
        </w:rPr>
        <w:t xml:space="preserve">, </w:t>
      </w:r>
    </w:p>
    <w:p w:rsidR="003071ED" w:rsidRDefault="00AE4AFA" w:rsidP="00040D71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040D71">
        <w:rPr>
          <w:sz w:val="22"/>
          <w:szCs w:val="22"/>
        </w:rPr>
        <w:t>Žáci se před začátkem prezenční výuky a po jejím skončení nezdržují v prostorách školy, školním areálu ani před školou.</w:t>
      </w: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A80004" w:rsidP="000E266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Níže rozvrhy tříd</w:t>
      </w:r>
      <w:r w:rsidR="00AD3AC3">
        <w:rPr>
          <w:sz w:val="22"/>
          <w:szCs w:val="22"/>
        </w:rPr>
        <w:t xml:space="preserve"> a </w:t>
      </w:r>
      <w:r w:rsidR="00AD3AC3" w:rsidRPr="00AD3AC3">
        <w:rPr>
          <w:sz w:val="22"/>
          <w:szCs w:val="22"/>
        </w:rPr>
        <w:t>Čestné prohlášení o neexistenci příznaků virového infekčního onemocnění</w:t>
      </w: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0B70E7" w:rsidRPr="000B70E7" w:rsidRDefault="000B70E7" w:rsidP="000B70E7">
      <w:pPr>
        <w:jc w:val="center"/>
        <w:rPr>
          <w:b/>
          <w:sz w:val="36"/>
          <w:szCs w:val="36"/>
        </w:rPr>
      </w:pPr>
      <w:r w:rsidRPr="000B70E7">
        <w:rPr>
          <w:b/>
          <w:sz w:val="36"/>
          <w:szCs w:val="36"/>
        </w:rPr>
        <w:t>Rozvrh hodin pro žáky 9. tříd</w:t>
      </w:r>
    </w:p>
    <w:p w:rsidR="000B70E7" w:rsidRDefault="000B70E7" w:rsidP="000B70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70E7" w:rsidTr="003A4653">
        <w:tc>
          <w:tcPr>
            <w:tcW w:w="3020" w:type="dxa"/>
          </w:tcPr>
          <w:p w:rsidR="000B70E7" w:rsidRPr="000B70E7" w:rsidRDefault="000B70E7" w:rsidP="003A4653">
            <w:pPr>
              <w:rPr>
                <w:b/>
                <w:sz w:val="28"/>
                <w:szCs w:val="28"/>
              </w:rPr>
            </w:pPr>
            <w:proofErr w:type="gramStart"/>
            <w:r w:rsidRPr="000B70E7">
              <w:rPr>
                <w:b/>
                <w:sz w:val="28"/>
                <w:szCs w:val="28"/>
              </w:rPr>
              <w:t>9.A</w:t>
            </w:r>
            <w:proofErr w:type="gramEnd"/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9.00 – 9.45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9.55 – 10.40</w:t>
            </w:r>
          </w:p>
        </w:tc>
      </w:tr>
      <w:tr w:rsidR="000B70E7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Pondělí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</w:tr>
      <w:tr w:rsidR="000B70E7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Úterý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</w:tr>
      <w:tr w:rsidR="000B70E7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Středa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</w:tr>
      <w:tr w:rsidR="000B70E7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Čtvrtek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</w:tr>
      <w:tr w:rsidR="000B70E7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Pátek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-</w:t>
            </w:r>
          </w:p>
        </w:tc>
      </w:tr>
    </w:tbl>
    <w:p w:rsidR="000B70E7" w:rsidRDefault="000B70E7" w:rsidP="000B70E7"/>
    <w:p w:rsidR="000B70E7" w:rsidRDefault="000B70E7" w:rsidP="000B70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70E7" w:rsidTr="003A4653">
        <w:tc>
          <w:tcPr>
            <w:tcW w:w="2265" w:type="dxa"/>
          </w:tcPr>
          <w:p w:rsidR="000B70E7" w:rsidRPr="000B70E7" w:rsidRDefault="000B70E7" w:rsidP="003A4653">
            <w:pPr>
              <w:rPr>
                <w:b/>
                <w:sz w:val="28"/>
                <w:szCs w:val="28"/>
              </w:rPr>
            </w:pPr>
            <w:proofErr w:type="gramStart"/>
            <w:r w:rsidRPr="000B70E7">
              <w:rPr>
                <w:b/>
                <w:sz w:val="28"/>
                <w:szCs w:val="28"/>
              </w:rPr>
              <w:t>9.B</w:t>
            </w:r>
            <w:proofErr w:type="gramEnd"/>
          </w:p>
        </w:tc>
        <w:tc>
          <w:tcPr>
            <w:tcW w:w="2265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9.00 – 9.45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9.55 – 10.40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10.00 – 10.45</w:t>
            </w:r>
          </w:p>
        </w:tc>
      </w:tr>
      <w:tr w:rsidR="000B70E7" w:rsidTr="003A4653">
        <w:tc>
          <w:tcPr>
            <w:tcW w:w="2265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Pondělí</w:t>
            </w:r>
          </w:p>
        </w:tc>
        <w:tc>
          <w:tcPr>
            <w:tcW w:w="2265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-</w:t>
            </w:r>
          </w:p>
        </w:tc>
      </w:tr>
      <w:tr w:rsidR="000B70E7" w:rsidTr="003A4653">
        <w:tc>
          <w:tcPr>
            <w:tcW w:w="2265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Úterý</w:t>
            </w:r>
          </w:p>
        </w:tc>
        <w:tc>
          <w:tcPr>
            <w:tcW w:w="2265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-</w:t>
            </w:r>
          </w:p>
        </w:tc>
      </w:tr>
      <w:tr w:rsidR="000B70E7" w:rsidTr="003A4653">
        <w:tc>
          <w:tcPr>
            <w:tcW w:w="2265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Středa</w:t>
            </w:r>
          </w:p>
        </w:tc>
        <w:tc>
          <w:tcPr>
            <w:tcW w:w="2265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-</w:t>
            </w:r>
          </w:p>
        </w:tc>
      </w:tr>
      <w:tr w:rsidR="000B70E7" w:rsidTr="003A4653">
        <w:tc>
          <w:tcPr>
            <w:tcW w:w="2265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Čtvrtek</w:t>
            </w:r>
          </w:p>
        </w:tc>
        <w:tc>
          <w:tcPr>
            <w:tcW w:w="2265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 w:rsidRPr="009B4725"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-</w:t>
            </w:r>
          </w:p>
        </w:tc>
      </w:tr>
      <w:tr w:rsidR="000B70E7" w:rsidTr="003A4653">
        <w:tc>
          <w:tcPr>
            <w:tcW w:w="2265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Pátek</w:t>
            </w:r>
          </w:p>
        </w:tc>
        <w:tc>
          <w:tcPr>
            <w:tcW w:w="2265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-</w:t>
            </w:r>
          </w:p>
        </w:tc>
        <w:tc>
          <w:tcPr>
            <w:tcW w:w="2266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M</w:t>
            </w:r>
          </w:p>
        </w:tc>
      </w:tr>
    </w:tbl>
    <w:p w:rsidR="000B70E7" w:rsidRDefault="000B70E7" w:rsidP="000B70E7"/>
    <w:p w:rsidR="000B70E7" w:rsidRDefault="000B70E7" w:rsidP="000B70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70E7" w:rsidRPr="009B4725" w:rsidTr="003A4653">
        <w:tc>
          <w:tcPr>
            <w:tcW w:w="3020" w:type="dxa"/>
          </w:tcPr>
          <w:p w:rsidR="000B70E7" w:rsidRPr="000B70E7" w:rsidRDefault="000B70E7" w:rsidP="003A4653">
            <w:pPr>
              <w:rPr>
                <w:b/>
                <w:sz w:val="28"/>
                <w:szCs w:val="28"/>
              </w:rPr>
            </w:pPr>
            <w:proofErr w:type="gramStart"/>
            <w:r w:rsidRPr="000B70E7">
              <w:rPr>
                <w:b/>
                <w:sz w:val="28"/>
                <w:szCs w:val="28"/>
              </w:rPr>
              <w:t>9.C</w:t>
            </w:r>
            <w:proofErr w:type="gramEnd"/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9.00 – 9.45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9.55 – 10.40</w:t>
            </w:r>
          </w:p>
        </w:tc>
      </w:tr>
      <w:tr w:rsidR="000B70E7" w:rsidRPr="009B4725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Pondělí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0B70E7" w:rsidRPr="009B4725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Úterý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</w:tr>
      <w:tr w:rsidR="000B70E7" w:rsidRPr="009B4725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Středa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</w:tr>
      <w:tr w:rsidR="000B70E7" w:rsidRPr="009B4725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Čtvrtek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0B70E7" w:rsidRPr="009B4725" w:rsidTr="003A4653">
        <w:tc>
          <w:tcPr>
            <w:tcW w:w="3020" w:type="dxa"/>
          </w:tcPr>
          <w:p w:rsidR="000B70E7" w:rsidRPr="009B4725" w:rsidRDefault="000B70E7" w:rsidP="003A4653">
            <w:pPr>
              <w:rPr>
                <w:sz w:val="28"/>
                <w:szCs w:val="28"/>
              </w:rPr>
            </w:pPr>
            <w:r w:rsidRPr="009B4725">
              <w:rPr>
                <w:sz w:val="28"/>
                <w:szCs w:val="28"/>
              </w:rPr>
              <w:t>Pátek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3021" w:type="dxa"/>
          </w:tcPr>
          <w:p w:rsidR="000B70E7" w:rsidRPr="009B4725" w:rsidRDefault="000B70E7" w:rsidP="003A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E266B" w:rsidRDefault="000E266B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Níže Čestné prohlášení o neexistenci příznaků virového infekčního onemocnění</w:t>
      </w: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AD3AC3">
        <w:rPr>
          <w:rFonts w:ascii="Calibri" w:hAnsi="Calibri" w:cs="Calibri"/>
          <w:b/>
          <w:bCs/>
          <w:color w:val="000000"/>
          <w:sz w:val="40"/>
          <w:szCs w:val="40"/>
        </w:rPr>
        <w:lastRenderedPageBreak/>
        <w:t>ČESTNÉ PROHLÁŠENÍ</w:t>
      </w: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>O NEEXISTENCI PŘÍZNAKŮ VIROVÉHO INFEKČNÍHO ONEMOCNĚNÍ</w:t>
      </w: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Mkatabulky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AD3AC3" w:rsidRPr="00AD3AC3" w:rsidTr="00AD3AC3">
        <w:tc>
          <w:tcPr>
            <w:tcW w:w="10456" w:type="dxa"/>
            <w:shd w:val="clear" w:color="auto" w:fill="FFFFFF" w:themeFill="background1"/>
          </w:tcPr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Jméno a příjmení </w:t>
            </w:r>
            <w:r w:rsidRPr="00AD3AC3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(</w:t>
            </w:r>
            <w:bookmarkStart w:id="0" w:name="_GoBack"/>
            <w:bookmarkEnd w:id="0"/>
            <w:r w:rsidRPr="00AD3AC3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>účastníka vzdělávání)</w:t>
            </w:r>
          </w:p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color w:val="000000"/>
                <w:sz w:val="23"/>
                <w:szCs w:val="23"/>
              </w:rPr>
              <w:t>…............................................................................................................................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</w:t>
            </w:r>
          </w:p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datum </w:t>
            </w:r>
            <w:proofErr w:type="gramStart"/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narození:</w:t>
            </w:r>
            <w:r w:rsidRPr="00AD3AC3"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</w:t>
            </w:r>
            <w:proofErr w:type="gramEnd"/>
          </w:p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D3AC3" w:rsidRPr="00AD3AC3" w:rsidRDefault="00AD3AC3" w:rsidP="00AD3A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3AC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trvale bytem:</w:t>
            </w:r>
            <w:proofErr w:type="gramStart"/>
            <w:r w:rsidRPr="00AD3AC3">
              <w:rPr>
                <w:rFonts w:ascii="Calibri" w:hAnsi="Calibri" w:cs="Calibri"/>
                <w:color w:val="000000"/>
                <w:sz w:val="23"/>
                <w:szCs w:val="23"/>
              </w:rPr>
              <w:t>….....................................................................................................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.........................</w:t>
            </w:r>
            <w:proofErr w:type="gramEnd"/>
          </w:p>
          <w:p w:rsidR="00AD3AC3" w:rsidRPr="00AD3AC3" w:rsidRDefault="00AD3AC3" w:rsidP="00AD3A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D3AC3" w:rsidRPr="00AD3AC3" w:rsidRDefault="00AD3AC3" w:rsidP="00AD3A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D3AC3" w:rsidRPr="00AD3AC3" w:rsidRDefault="00AD3AC3" w:rsidP="00AD3AC3">
      <w:pPr>
        <w:autoSpaceDE w:val="0"/>
        <w:autoSpaceDN w:val="0"/>
        <w:adjustRightInd w:val="0"/>
        <w:spacing w:after="22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 w:rsidRPr="00AD3AC3">
        <w:rPr>
          <w:rFonts w:ascii="Calibri" w:hAnsi="Calibri" w:cs="Calibri"/>
          <w:i/>
          <w:iCs/>
          <w:color w:val="000000"/>
          <w:sz w:val="23"/>
          <w:szCs w:val="23"/>
        </w:rPr>
        <w:t>(např. horečka, kašel, dušnost, náhlá ztráta chuti a čichu apod.)</w:t>
      </w:r>
      <w:r w:rsidRPr="00AD3AC3">
        <w:rPr>
          <w:rFonts w:ascii="Calibri" w:hAnsi="Calibri" w:cs="Calibri"/>
          <w:color w:val="000000"/>
          <w:sz w:val="23"/>
          <w:szCs w:val="23"/>
        </w:rPr>
        <w:t>.</w:t>
      </w: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AD3AC3">
        <w:rPr>
          <w:rFonts w:ascii="Calibri" w:hAnsi="Calibri" w:cs="Calibri"/>
          <w:color w:val="000000"/>
          <w:sz w:val="23"/>
          <w:szCs w:val="23"/>
        </w:rPr>
        <w:t>Dne ...................................</w:t>
      </w:r>
      <w:proofErr w:type="gramEnd"/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</w:t>
      </w:r>
      <w:r w:rsidRPr="00AD3AC3"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</w:t>
      </w: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D3AC3"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          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D3AC3">
        <w:rPr>
          <w:rFonts w:ascii="Calibri" w:hAnsi="Calibri" w:cs="Calibri"/>
          <w:color w:val="000000"/>
          <w:sz w:val="23"/>
          <w:szCs w:val="23"/>
        </w:rPr>
        <w:t xml:space="preserve"> Podpis zákonného zástupce nezletilého</w:t>
      </w:r>
    </w:p>
    <w:p w:rsid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b/>
          <w:bCs/>
          <w:color w:val="000000"/>
          <w:sz w:val="20"/>
          <w:szCs w:val="20"/>
        </w:rPr>
        <w:t>Osoby s rizikovými faktory</w:t>
      </w: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b/>
          <w:bCs/>
          <w:color w:val="000000"/>
          <w:sz w:val="20"/>
          <w:szCs w:val="20"/>
        </w:rPr>
        <w:t xml:space="preserve">Ministerstvo zdravotnictví stanovilo následující rizikové faktory: </w:t>
      </w:r>
    </w:p>
    <w:p w:rsidR="00AD3AC3" w:rsidRPr="00AD3AC3" w:rsidRDefault="00AD3AC3" w:rsidP="00AD3AC3">
      <w:pPr>
        <w:autoSpaceDE w:val="0"/>
        <w:autoSpaceDN w:val="0"/>
        <w:adjustRightInd w:val="0"/>
        <w:spacing w:after="6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1. Věk nad 65 let s přidruženými chronickými chorobami. </w:t>
      </w:r>
    </w:p>
    <w:p w:rsidR="00AD3AC3" w:rsidRPr="00AD3AC3" w:rsidRDefault="00AD3AC3" w:rsidP="00AD3AC3">
      <w:pPr>
        <w:autoSpaceDE w:val="0"/>
        <w:autoSpaceDN w:val="0"/>
        <w:adjustRightInd w:val="0"/>
        <w:spacing w:after="6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2. Chronické onemocnění plic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 xml:space="preserve">(zahrnuje i středně závažné a závažné astma </w:t>
      </w:r>
      <w:proofErr w:type="spellStart"/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bronchiale</w:t>
      </w:r>
      <w:proofErr w:type="spellEnd"/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 xml:space="preserve">) 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s dlouhodobou systémovou farmakologickou léčbou. </w:t>
      </w:r>
    </w:p>
    <w:p w:rsidR="00AD3AC3" w:rsidRPr="00AD3AC3" w:rsidRDefault="00AD3AC3" w:rsidP="00AD3AC3">
      <w:pPr>
        <w:autoSpaceDE w:val="0"/>
        <w:autoSpaceDN w:val="0"/>
        <w:adjustRightInd w:val="0"/>
        <w:spacing w:after="63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3. Onemocnění srdce a/nebo velkých cév s dlouhodobou systémovou farmakologickou léčbou např. hypertenze. </w:t>
      </w:r>
    </w:p>
    <w:p w:rsidR="00AD3AC3" w:rsidRPr="00AD3AC3" w:rsidRDefault="00AD3AC3" w:rsidP="00AD3AC3">
      <w:pPr>
        <w:numPr>
          <w:ilvl w:val="1"/>
          <w:numId w:val="4"/>
        </w:numPr>
        <w:autoSpaceDE w:val="0"/>
        <w:autoSpaceDN w:val="0"/>
        <w:adjustRightInd w:val="0"/>
        <w:spacing w:after="2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4. Porucha imunitního systému, např. a) při imunosupresivní léčbě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(steroidy, HIV apod.)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AD3AC3" w:rsidRPr="00AD3AC3" w:rsidRDefault="00AD3AC3" w:rsidP="00AD3AC3">
      <w:pPr>
        <w:numPr>
          <w:ilvl w:val="1"/>
          <w:numId w:val="5"/>
        </w:numPr>
        <w:autoSpaceDE w:val="0"/>
        <w:autoSpaceDN w:val="0"/>
        <w:adjustRightInd w:val="0"/>
        <w:spacing w:after="2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při protinádorové léčbě, </w:t>
      </w:r>
    </w:p>
    <w:p w:rsidR="00AD3AC3" w:rsidRPr="00AD3AC3" w:rsidRDefault="00AD3AC3" w:rsidP="00AD3A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po transplantaci solidních orgánů a/nebo kostní dřeně, </w:t>
      </w:r>
    </w:p>
    <w:p w:rsidR="00AD3AC3" w:rsidRPr="00AD3AC3" w:rsidRDefault="00AD3AC3" w:rsidP="00AD3AC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D3AC3" w:rsidRPr="00AD3AC3" w:rsidRDefault="00AD3AC3" w:rsidP="00AD3AC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5. Těžká obezita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(BMI nad 40 kg/m2)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D3AC3" w:rsidRPr="00AD3AC3" w:rsidRDefault="00AD3AC3" w:rsidP="00AD3AC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6. Farmakologicky léčený diabetes </w:t>
      </w:r>
      <w:proofErr w:type="spellStart"/>
      <w:r w:rsidRPr="00AD3AC3">
        <w:rPr>
          <w:rFonts w:ascii="Calibri" w:hAnsi="Calibri" w:cs="Calibri"/>
          <w:color w:val="000000"/>
          <w:sz w:val="20"/>
          <w:szCs w:val="20"/>
        </w:rPr>
        <w:t>mellitus</w:t>
      </w:r>
      <w:proofErr w:type="spellEnd"/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D3AC3" w:rsidRPr="00AD3AC3" w:rsidRDefault="00AD3AC3" w:rsidP="00AD3AC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7. Chronické onemocnění ledvin vyžadující dočasnou nebo trvalou podporu/náhradu funkce ledvin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(dialýza)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D3AC3" w:rsidRPr="00AD3AC3" w:rsidRDefault="00AD3AC3" w:rsidP="00AD3AC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D3AC3">
        <w:rPr>
          <w:rFonts w:ascii="Calibri" w:hAnsi="Calibri" w:cs="Calibri"/>
          <w:color w:val="000000"/>
          <w:sz w:val="20"/>
          <w:szCs w:val="20"/>
        </w:rPr>
        <w:t xml:space="preserve">8. Onemocnění jater </w:t>
      </w:r>
      <w:r w:rsidRPr="00AD3AC3">
        <w:rPr>
          <w:rFonts w:ascii="Calibri" w:hAnsi="Calibri" w:cs="Calibri"/>
          <w:i/>
          <w:iCs/>
          <w:color w:val="000000"/>
          <w:sz w:val="20"/>
          <w:szCs w:val="20"/>
        </w:rPr>
        <w:t>(primární nebo sekundární)</w:t>
      </w:r>
      <w:r w:rsidRPr="00AD3AC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AD3AC3" w:rsidRPr="00AD3AC3" w:rsidRDefault="00AD3AC3" w:rsidP="00AD3A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D3AC3" w:rsidRDefault="00AD3AC3" w:rsidP="00AD3AC3">
      <w:pPr>
        <w:jc w:val="both"/>
        <w:rPr>
          <w:sz w:val="20"/>
          <w:szCs w:val="20"/>
        </w:rPr>
      </w:pPr>
    </w:p>
    <w:p w:rsidR="00AD3AC3" w:rsidRPr="00AD3AC3" w:rsidRDefault="00AD3AC3" w:rsidP="00AD3AC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3AC3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p w:rsidR="00AD3AC3" w:rsidRPr="00AE4AFA" w:rsidRDefault="00AD3AC3" w:rsidP="000E266B">
      <w:pPr>
        <w:pStyle w:val="Default"/>
        <w:spacing w:before="120" w:after="120"/>
        <w:jc w:val="both"/>
        <w:rPr>
          <w:sz w:val="22"/>
          <w:szCs w:val="22"/>
        </w:rPr>
      </w:pPr>
    </w:p>
    <w:sectPr w:rsidR="00AD3AC3" w:rsidRPr="00AE4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9C" w:rsidRDefault="00AE409C" w:rsidP="00B77801">
      <w:pPr>
        <w:spacing w:after="0" w:line="240" w:lineRule="auto"/>
      </w:pPr>
      <w:r>
        <w:separator/>
      </w:r>
    </w:p>
  </w:endnote>
  <w:endnote w:type="continuationSeparator" w:id="0">
    <w:p w:rsidR="00AE409C" w:rsidRDefault="00AE409C" w:rsidP="00B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9C" w:rsidRDefault="00AE409C" w:rsidP="00B77801">
      <w:pPr>
        <w:spacing w:after="0" w:line="240" w:lineRule="auto"/>
      </w:pPr>
      <w:r>
        <w:separator/>
      </w:r>
    </w:p>
  </w:footnote>
  <w:footnote w:type="continuationSeparator" w:id="0">
    <w:p w:rsidR="00AE409C" w:rsidRDefault="00AE409C" w:rsidP="00B7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01" w:rsidRPr="00B77801" w:rsidRDefault="00B77801" w:rsidP="00B77801">
    <w:pPr>
      <w:pStyle w:val="Zhlav"/>
      <w:jc w:val="center"/>
      <w:rPr>
        <w:b/>
      </w:rPr>
    </w:pPr>
    <w:r w:rsidRPr="00B77801">
      <w:rPr>
        <w:b/>
      </w:rPr>
      <w:t xml:space="preserve">Základní škola Rudolfa </w:t>
    </w:r>
    <w:proofErr w:type="spellStart"/>
    <w:r w:rsidRPr="00B77801">
      <w:rPr>
        <w:b/>
      </w:rPr>
      <w:t>Koblice</w:t>
    </w:r>
    <w:proofErr w:type="spellEnd"/>
    <w:r w:rsidRPr="00B77801">
      <w:rPr>
        <w:b/>
      </w:rPr>
      <w:t>, Pionýrů 1102, Kadaň</w:t>
    </w:r>
  </w:p>
  <w:p w:rsidR="00B77801" w:rsidRPr="00B77801" w:rsidRDefault="00B77801" w:rsidP="00B77801">
    <w:pPr>
      <w:pStyle w:val="Zhlav"/>
      <w:jc w:val="center"/>
    </w:pPr>
    <w:r w:rsidRPr="00B77801">
      <w:t>Tel.:</w:t>
    </w:r>
    <w:proofErr w:type="gramStart"/>
    <w:r w:rsidRPr="00B77801">
      <w:t>474316430  Fax</w:t>
    </w:r>
    <w:proofErr w:type="gramEnd"/>
    <w:r w:rsidRPr="00B77801">
      <w:t xml:space="preserve">: 474345287  e-mail: </w:t>
    </w:r>
    <w:hyperlink r:id="rId1" w:history="1">
      <w:r w:rsidRPr="00B77801">
        <w:rPr>
          <w:rStyle w:val="Hypertextovodkaz"/>
        </w:rPr>
        <w:t>reditel@2zskadan.cz</w:t>
      </w:r>
    </w:hyperlink>
    <w:r w:rsidRPr="00B77801">
      <w:t xml:space="preserve">  </w:t>
    </w:r>
    <w:hyperlink r:id="rId2" w:history="1">
      <w:r w:rsidRPr="00B77801">
        <w:rPr>
          <w:rStyle w:val="Hypertextovodkaz"/>
        </w:rPr>
        <w:t>www.2zskadan.cz</w:t>
      </w:r>
    </w:hyperlink>
  </w:p>
  <w:p w:rsidR="00B77801" w:rsidRDefault="00B77801">
    <w:pPr>
      <w:pStyle w:val="Zhlav"/>
    </w:pPr>
  </w:p>
  <w:p w:rsidR="00B77801" w:rsidRDefault="00B778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BD"/>
    <w:multiLevelType w:val="hybridMultilevel"/>
    <w:tmpl w:val="B39C11D6"/>
    <w:lvl w:ilvl="0" w:tplc="FFFFFFFF">
      <w:start w:val="1"/>
      <w:numFmt w:val="ideographDigital"/>
      <w:lvlText w:val=""/>
      <w:lvlJc w:val="left"/>
    </w:lvl>
    <w:lvl w:ilvl="1" w:tplc="040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97FEE"/>
    <w:multiLevelType w:val="hybridMultilevel"/>
    <w:tmpl w:val="E2824E3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442B"/>
    <w:multiLevelType w:val="hybridMultilevel"/>
    <w:tmpl w:val="C630B5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C881A1C"/>
    <w:multiLevelType w:val="hybridMultilevel"/>
    <w:tmpl w:val="A218DD52"/>
    <w:lvl w:ilvl="0" w:tplc="BE0C8A78">
      <w:start w:val="1"/>
      <w:numFmt w:val="bullet"/>
      <w:lvlText w:val="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1"/>
    <w:rsid w:val="00040D71"/>
    <w:rsid w:val="00082A40"/>
    <w:rsid w:val="000B70E7"/>
    <w:rsid w:val="000E266B"/>
    <w:rsid w:val="00195E10"/>
    <w:rsid w:val="00280649"/>
    <w:rsid w:val="002C5AE9"/>
    <w:rsid w:val="003071ED"/>
    <w:rsid w:val="00385496"/>
    <w:rsid w:val="005E6825"/>
    <w:rsid w:val="007B125C"/>
    <w:rsid w:val="008612A8"/>
    <w:rsid w:val="008A2B6E"/>
    <w:rsid w:val="00A80004"/>
    <w:rsid w:val="00AD3AC3"/>
    <w:rsid w:val="00AE409C"/>
    <w:rsid w:val="00AE4AFA"/>
    <w:rsid w:val="00B37E64"/>
    <w:rsid w:val="00B77801"/>
    <w:rsid w:val="00D26E99"/>
    <w:rsid w:val="00DE4046"/>
    <w:rsid w:val="00E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5AFBF"/>
  <w15:chartTrackingRefBased/>
  <w15:docId w15:val="{E900C48D-5557-4222-A423-845647D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801"/>
  </w:style>
  <w:style w:type="paragraph" w:styleId="Zpat">
    <w:name w:val="footer"/>
    <w:basedOn w:val="Normln"/>
    <w:link w:val="ZpatChar"/>
    <w:uiPriority w:val="99"/>
    <w:unhideWhenUsed/>
    <w:rsid w:val="00B7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801"/>
  </w:style>
  <w:style w:type="character" w:styleId="Hypertextovodkaz">
    <w:name w:val="Hyperlink"/>
    <w:basedOn w:val="Standardnpsmoodstavce"/>
    <w:uiPriority w:val="99"/>
    <w:unhideWhenUsed/>
    <w:rsid w:val="00B7780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3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4AF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D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2zskadan.cz" TargetMode="External"/><Relationship Id="rId1" Type="http://schemas.openxmlformats.org/officeDocument/2006/relationships/hyperlink" Target="mailto:reditel@2zskad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Hakl</dc:creator>
  <cp:keywords/>
  <dc:description/>
  <cp:lastModifiedBy>Stanislav Hakl</cp:lastModifiedBy>
  <cp:revision>15</cp:revision>
  <cp:lastPrinted>2020-05-05T08:12:00Z</cp:lastPrinted>
  <dcterms:created xsi:type="dcterms:W3CDTF">2020-05-05T05:25:00Z</dcterms:created>
  <dcterms:modified xsi:type="dcterms:W3CDTF">2020-05-05T08:21:00Z</dcterms:modified>
</cp:coreProperties>
</file>